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3A947DD9"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#AH-1801</w:t>
      </w:r>
      <w:r w:rsidRPr="00DE4417">
        <w:rPr>
          <w:rFonts w:eastAsia="Malgun Gothic"/>
          <w:b/>
          <w:bCs/>
          <w:sz w:val="28"/>
          <w:lang w:val="en-GB" w:eastAsia="ko-KR"/>
        </w:rPr>
        <w:tab/>
      </w:r>
      <w:r w:rsidR="00967DA7" w:rsidRPr="00967DA7">
        <w:rPr>
          <w:rFonts w:eastAsia="Malgun Gothic"/>
          <w:b/>
          <w:bCs/>
          <w:sz w:val="28"/>
          <w:lang w:val="en-GB"/>
        </w:rPr>
        <w:t>R4-1800945</w:t>
      </w:r>
    </w:p>
    <w:p w14:paraId="50CBE1C5" w14:textId="1B0B2D4D" w:rsidR="003E1A65" w:rsidRPr="00DE4417" w:rsidRDefault="003E1A65"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DE4417">
        <w:rPr>
          <w:rFonts w:eastAsia="Malgun Gothic"/>
          <w:b/>
          <w:bCs/>
          <w:sz w:val="28"/>
          <w:lang w:val="en-GB" w:eastAsia="ko-KR"/>
        </w:rPr>
        <w:t>San Diego, US</w:t>
      </w:r>
      <w:r w:rsidR="00804D3E">
        <w:rPr>
          <w:rFonts w:eastAsia="Malgun Gothic"/>
          <w:b/>
          <w:bCs/>
          <w:sz w:val="28"/>
          <w:lang w:val="en-GB" w:eastAsia="ko-KR"/>
        </w:rPr>
        <w:t>A</w:t>
      </w:r>
      <w:r w:rsidRPr="00DE4417">
        <w:rPr>
          <w:rFonts w:eastAsia="Malgun Gothic"/>
          <w:b/>
          <w:bCs/>
          <w:sz w:val="28"/>
          <w:lang w:val="en-GB" w:eastAsia="ko-KR"/>
        </w:rPr>
        <w:t>, 22 - 26 January 2018</w:t>
      </w:r>
    </w:p>
    <w:p w14:paraId="38A11C1B" w14:textId="0B5BCCFA"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B36C82">
        <w:rPr>
          <w:lang w:val="en-GB"/>
        </w:rPr>
        <w:t xml:space="preserve"> </w:t>
      </w:r>
      <w:r w:rsidR="00DB29DE">
        <w:rPr>
          <w:lang w:val="en-GB"/>
        </w:rPr>
        <w:t>&amp;</w:t>
      </w:r>
      <w:r w:rsidR="00B36C82">
        <w:rPr>
          <w:lang w:val="en-GB"/>
        </w:rPr>
        <w:t xml:space="preserve"> </w:t>
      </w:r>
      <w:r w:rsidRPr="00DE4417">
        <w:rPr>
          <w:lang w:val="en-GB"/>
        </w:rPr>
        <w:t>Schwarz</w:t>
      </w:r>
    </w:p>
    <w:p w14:paraId="422DE63C" w14:textId="1FB5009C" w:rsidR="00B81FC7" w:rsidRPr="00DE4417" w:rsidRDefault="00B81FC7" w:rsidP="008159B1">
      <w:pPr>
        <w:ind w:left="2160" w:hanging="2160"/>
        <w:rPr>
          <w:b/>
          <w:lang w:val="en-GB"/>
        </w:rPr>
      </w:pPr>
      <w:r w:rsidRPr="00DE4417">
        <w:rPr>
          <w:b/>
          <w:lang w:val="en-GB"/>
        </w:rPr>
        <w:t>Title:</w:t>
      </w:r>
      <w:r w:rsidRPr="00DE4417">
        <w:rPr>
          <w:b/>
          <w:lang w:val="en-GB"/>
        </w:rPr>
        <w:tab/>
      </w:r>
      <w:r w:rsidR="004A4DFC">
        <w:rPr>
          <w:lang w:val="en-GB"/>
        </w:rPr>
        <w:t>Antenna size &amp; separation declaration for FR2 Testing</w:t>
      </w:r>
    </w:p>
    <w:p w14:paraId="75E65FB7" w14:textId="6414C846"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7D5FEB">
        <w:rPr>
          <w:lang w:val="en-GB"/>
        </w:rPr>
        <w:t>4.7.1</w:t>
      </w:r>
      <w:bookmarkStart w:id="0" w:name="_GoBack"/>
      <w:bookmarkEnd w:id="0"/>
    </w:p>
    <w:p w14:paraId="21F2DA1B" w14:textId="17695AB5" w:rsidR="00B81FC7" w:rsidRPr="00DE4417" w:rsidRDefault="00B81FC7" w:rsidP="00B81FC7">
      <w:pPr>
        <w:rPr>
          <w:sz w:val="18"/>
          <w:szCs w:val="18"/>
          <w:lang w:val="en-GB"/>
        </w:rPr>
      </w:pPr>
      <w:r w:rsidRPr="00DE4417">
        <w:rPr>
          <w:b/>
          <w:lang w:val="en-GB"/>
        </w:rPr>
        <w:t>Document for:</w:t>
      </w:r>
      <w:r w:rsidRPr="00DE4417">
        <w:rPr>
          <w:lang w:val="en-GB"/>
        </w:rPr>
        <w:tab/>
      </w:r>
      <w:r w:rsidR="005F37CF" w:rsidRPr="00DE4417">
        <w:rPr>
          <w:lang w:val="en-GB"/>
        </w:rPr>
        <w:t>Approval</w:t>
      </w:r>
    </w:p>
    <w:p w14:paraId="7CA60390" w14:textId="77777777" w:rsidR="00B81FC7" w:rsidRPr="00DE4417" w:rsidRDefault="00B81FC7" w:rsidP="00B81FC7">
      <w:pPr>
        <w:pStyle w:val="Heading1"/>
        <w:rPr>
          <w:rFonts w:cs="Arial"/>
        </w:rPr>
      </w:pPr>
      <w:r w:rsidRPr="00DE4417">
        <w:rPr>
          <w:rFonts w:cs="Arial"/>
        </w:rPr>
        <w:t>Introduction</w:t>
      </w:r>
    </w:p>
    <w:p w14:paraId="1D922F53" w14:textId="6DACBB01" w:rsidR="005F37CF" w:rsidRPr="00DE4417" w:rsidRDefault="0055725C" w:rsidP="008159B1">
      <w:pPr>
        <w:jc w:val="both"/>
        <w:rPr>
          <w:lang w:val="en-GB"/>
        </w:rPr>
      </w:pPr>
      <w:bookmarkStart w:id="1" w:name="OLE_LINK10"/>
      <w:bookmarkStart w:id="2" w:name="OLE_LINK11"/>
      <w:r>
        <w:rPr>
          <w:lang w:val="en-GB"/>
        </w:rPr>
        <w:t xml:space="preserve">The white box vs black box test approach has been discussed in the past </w:t>
      </w:r>
      <w:r>
        <w:rPr>
          <w:lang w:val="en-GB"/>
        </w:rPr>
        <w:fldChar w:fldCharType="begin"/>
      </w:r>
      <w:r>
        <w:rPr>
          <w:lang w:val="en-GB"/>
        </w:rPr>
        <w:instrText xml:space="preserve"> REF _Ref503728622 \r \h </w:instrText>
      </w:r>
      <w:r>
        <w:rPr>
          <w:lang w:val="en-GB"/>
        </w:rPr>
      </w:r>
      <w:r>
        <w:rPr>
          <w:lang w:val="en-GB"/>
        </w:rPr>
        <w:fldChar w:fldCharType="separate"/>
      </w:r>
      <w:r>
        <w:rPr>
          <w:lang w:val="en-GB"/>
        </w:rPr>
        <w:t>[1]</w:t>
      </w:r>
      <w:r>
        <w:rPr>
          <w:lang w:val="en-GB"/>
        </w:rPr>
        <w:fldChar w:fldCharType="end"/>
      </w:r>
      <w:r>
        <w:rPr>
          <w:lang w:val="en-GB"/>
        </w:rPr>
        <w:t xml:space="preserve"> and eventually the black box approach was </w:t>
      </w:r>
      <w:r w:rsidR="00C75C15">
        <w:rPr>
          <w:lang w:val="en-GB"/>
        </w:rPr>
        <w:t>agreed</w:t>
      </w:r>
      <w:r>
        <w:rPr>
          <w:lang w:val="en-GB"/>
        </w:rPr>
        <w:t xml:space="preserve"> with overwhelming support from chipset and device vendors. The consequence of not knowing the antenna architecture yields an unpractical </w:t>
      </w:r>
      <w:r w:rsidR="00C36443">
        <w:rPr>
          <w:lang w:val="en-GB"/>
        </w:rPr>
        <w:t>far-field</w:t>
      </w:r>
      <w:r>
        <w:rPr>
          <w:lang w:val="en-GB"/>
        </w:rPr>
        <w:t xml:space="preserve"> distance for FR2 OTA testing</w:t>
      </w:r>
      <w:r w:rsidR="00C36443">
        <w:rPr>
          <w:lang w:val="en-GB"/>
        </w:rPr>
        <w:t xml:space="preserve"> based on the 2</w:t>
      </w:r>
      <w:r w:rsidR="00C36443" w:rsidRPr="00C36443">
        <w:rPr>
          <w:i/>
          <w:lang w:val="en-GB"/>
        </w:rPr>
        <w:t>D</w:t>
      </w:r>
      <w:r w:rsidR="00C36443" w:rsidRPr="00C36443">
        <w:rPr>
          <w:vertAlign w:val="superscript"/>
          <w:lang w:val="en-GB"/>
        </w:rPr>
        <w:t>2</w:t>
      </w:r>
      <w:r w:rsidR="00C36443">
        <w:rPr>
          <w:lang w:val="en-GB"/>
        </w:rPr>
        <w:t>/</w:t>
      </w:r>
      <w:r w:rsidR="00C36443" w:rsidRPr="00C36443">
        <w:rPr>
          <w:rFonts w:ascii="Symbol" w:hAnsi="Symbol"/>
          <w:lang w:val="en-GB"/>
        </w:rPr>
        <w:t></w:t>
      </w:r>
      <w:r w:rsidR="00C36443">
        <w:rPr>
          <w:lang w:val="en-GB"/>
        </w:rPr>
        <w:t xml:space="preserve"> equation since the black box approach requires </w:t>
      </w:r>
      <w:r w:rsidR="00C36443" w:rsidRPr="00C36443">
        <w:rPr>
          <w:i/>
          <w:lang w:val="en-GB"/>
        </w:rPr>
        <w:t>D</w:t>
      </w:r>
      <w:r w:rsidR="00C36443">
        <w:rPr>
          <w:lang w:val="en-GB"/>
        </w:rPr>
        <w:t xml:space="preserve"> to correspond to the device size</w:t>
      </w:r>
      <w:r>
        <w:rPr>
          <w:lang w:val="en-GB"/>
        </w:rPr>
        <w:t xml:space="preserve">. </w:t>
      </w:r>
      <w:r w:rsidR="00C36443">
        <w:rPr>
          <w:lang w:val="en-GB"/>
        </w:rPr>
        <w:t xml:space="preserve"> </w:t>
      </w:r>
    </w:p>
    <w:p w14:paraId="59D92B3E" w14:textId="41CAD6E4" w:rsidR="00FC45FA" w:rsidRDefault="002A659B" w:rsidP="00FC45FA">
      <w:pPr>
        <w:pStyle w:val="Heading1"/>
        <w:rPr>
          <w:rFonts w:cs="Arial"/>
        </w:rPr>
      </w:pPr>
      <w:r w:rsidRPr="00DE4417">
        <w:rPr>
          <w:rFonts w:cs="Arial"/>
        </w:rPr>
        <w:t>Discussion</w:t>
      </w:r>
    </w:p>
    <w:p w14:paraId="1DA2B735" w14:textId="3ECC3005" w:rsidR="003F426A" w:rsidRDefault="00C75C15" w:rsidP="003F426A">
      <w:pPr>
        <w:rPr>
          <w:lang w:val="en-GB" w:eastAsia="en-US"/>
        </w:rPr>
      </w:pPr>
      <w:r>
        <w:rPr>
          <w:lang w:val="en-GB" w:eastAsia="en-US"/>
        </w:rPr>
        <w:t>In RAN4#85, the consequences of the black box approach for FR2 UE RF testing using the direct far-field baseline system were outlined</w:t>
      </w:r>
      <w:r w:rsidR="008D3677">
        <w:rPr>
          <w:lang w:val="en-GB" w:eastAsia="en-US"/>
        </w:rPr>
        <w:t xml:space="preserve"> </w:t>
      </w:r>
      <w:r w:rsidR="008D3677">
        <w:rPr>
          <w:lang w:val="en-GB" w:eastAsia="en-US"/>
        </w:rPr>
        <w:fldChar w:fldCharType="begin"/>
      </w:r>
      <w:r w:rsidR="008D3677">
        <w:rPr>
          <w:lang w:val="en-GB" w:eastAsia="en-US"/>
        </w:rPr>
        <w:instrText xml:space="preserve"> REF _Ref503731561 \r \h </w:instrText>
      </w:r>
      <w:r w:rsidR="008D3677">
        <w:rPr>
          <w:lang w:val="en-GB" w:eastAsia="en-US"/>
        </w:rPr>
      </w:r>
      <w:r w:rsidR="008D3677">
        <w:rPr>
          <w:lang w:val="en-GB" w:eastAsia="en-US"/>
        </w:rPr>
        <w:fldChar w:fldCharType="separate"/>
      </w:r>
      <w:r w:rsidR="008D3677">
        <w:rPr>
          <w:lang w:val="en-GB" w:eastAsia="en-US"/>
        </w:rPr>
        <w:t>[2</w:t>
      </w:r>
      <w:r w:rsidR="008D3677">
        <w:rPr>
          <w:lang w:val="en-GB" w:eastAsia="en-US"/>
        </w:rPr>
        <w:fldChar w:fldCharType="end"/>
      </w:r>
      <w:r w:rsidR="008D3677">
        <w:rPr>
          <w:lang w:val="en-GB" w:eastAsia="en-US"/>
        </w:rPr>
        <w:t xml:space="preserve">, </w:t>
      </w:r>
      <w:r w:rsidR="008D3677">
        <w:rPr>
          <w:lang w:val="en-GB" w:eastAsia="en-US"/>
        </w:rPr>
        <w:fldChar w:fldCharType="begin"/>
      </w:r>
      <w:r w:rsidR="008D3677">
        <w:rPr>
          <w:lang w:val="en-GB" w:eastAsia="en-US"/>
        </w:rPr>
        <w:instrText xml:space="preserve"> REF _Ref503731566 \r \h </w:instrText>
      </w:r>
      <w:r w:rsidR="008D3677">
        <w:rPr>
          <w:lang w:val="en-GB" w:eastAsia="en-US"/>
        </w:rPr>
      </w:r>
      <w:r w:rsidR="008D3677">
        <w:rPr>
          <w:lang w:val="en-GB" w:eastAsia="en-US"/>
        </w:rPr>
        <w:fldChar w:fldCharType="separate"/>
      </w:r>
      <w:r w:rsidR="008D3677">
        <w:rPr>
          <w:lang w:val="en-GB" w:eastAsia="en-US"/>
        </w:rPr>
        <w:t>3]</w:t>
      </w:r>
      <w:r w:rsidR="008D3677">
        <w:rPr>
          <w:lang w:val="en-GB" w:eastAsia="en-US"/>
        </w:rPr>
        <w:fldChar w:fldCharType="end"/>
      </w:r>
      <w:r>
        <w:rPr>
          <w:lang w:val="en-GB" w:eastAsia="en-US"/>
        </w:rPr>
        <w:t>:</w:t>
      </w:r>
    </w:p>
    <w:p w14:paraId="1CE730DE" w14:textId="2C82D735" w:rsidR="00C75C15" w:rsidRDefault="00C75C15" w:rsidP="008D3677">
      <w:pPr>
        <w:pStyle w:val="ListParagraph"/>
        <w:numPr>
          <w:ilvl w:val="0"/>
          <w:numId w:val="47"/>
        </w:numPr>
        <w:rPr>
          <w:lang w:val="en-GB"/>
        </w:rPr>
      </w:pPr>
      <w:r>
        <w:rPr>
          <w:lang w:val="en-GB"/>
        </w:rPr>
        <w:t xml:space="preserve">The </w:t>
      </w:r>
      <w:r w:rsidR="008D3677">
        <w:rPr>
          <w:lang w:val="en-GB"/>
        </w:rPr>
        <w:t xml:space="preserve">far-field distance, when details of the antenna implementation are unknown, is </w:t>
      </w:r>
      <w:r w:rsidR="00EB1C2F">
        <w:rPr>
          <w:lang w:val="en-GB"/>
        </w:rPr>
        <w:t xml:space="preserve">unpractical since the radiating aperture size of the antenna, </w:t>
      </w:r>
      <w:r w:rsidR="00EB1C2F" w:rsidRPr="00EB1C2F">
        <w:rPr>
          <w:i/>
          <w:lang w:val="en-GB"/>
        </w:rPr>
        <w:t>D</w:t>
      </w:r>
      <w:r w:rsidR="00EB1C2F">
        <w:rPr>
          <w:lang w:val="en-GB"/>
        </w:rPr>
        <w:t xml:space="preserve">, has to be assumed to match the maximum device size </w:t>
      </w:r>
      <w:r w:rsidR="008D3677">
        <w:rPr>
          <w:lang w:val="en-GB"/>
        </w:rPr>
        <w:t xml:space="preserve">based on </w:t>
      </w:r>
      <w:r w:rsidR="00885A94">
        <w:rPr>
          <w:lang w:val="en-GB"/>
        </w:rPr>
        <w:t xml:space="preserve">the </w:t>
      </w:r>
      <w:r w:rsidR="008D3677">
        <w:rPr>
          <w:lang w:val="en-GB"/>
        </w:rPr>
        <w:t>2</w:t>
      </w:r>
      <w:r w:rsidR="008D3677" w:rsidRPr="00C36443">
        <w:rPr>
          <w:i/>
          <w:lang w:val="en-GB"/>
        </w:rPr>
        <w:t>D</w:t>
      </w:r>
      <w:r w:rsidR="008D3677" w:rsidRPr="00C36443">
        <w:rPr>
          <w:vertAlign w:val="superscript"/>
          <w:lang w:val="en-GB"/>
        </w:rPr>
        <w:t>2</w:t>
      </w:r>
      <w:r w:rsidR="008D3677">
        <w:rPr>
          <w:lang w:val="en-GB"/>
        </w:rPr>
        <w:t>/</w:t>
      </w:r>
      <w:r w:rsidR="008D3677" w:rsidRPr="00C36443">
        <w:rPr>
          <w:rFonts w:ascii="Symbol" w:hAnsi="Symbol"/>
          <w:lang w:val="en-GB"/>
        </w:rPr>
        <w:t></w:t>
      </w:r>
      <w:r w:rsidR="008D3677" w:rsidRPr="008D3677">
        <w:rPr>
          <w:lang w:val="en-GB"/>
        </w:rPr>
        <w:t xml:space="preserve"> </w:t>
      </w:r>
      <w:r w:rsidR="00EB1C2F">
        <w:rPr>
          <w:lang w:val="en-GB"/>
        </w:rPr>
        <w:t xml:space="preserve">equation. </w:t>
      </w:r>
    </w:p>
    <w:p w14:paraId="5830C7C8" w14:textId="168F1904" w:rsidR="00EB1C2F" w:rsidRDefault="00EB1C2F" w:rsidP="008D3677">
      <w:pPr>
        <w:pStyle w:val="ListParagraph"/>
        <w:numPr>
          <w:ilvl w:val="0"/>
          <w:numId w:val="47"/>
        </w:numPr>
        <w:rPr>
          <w:lang w:val="en-GB"/>
        </w:rPr>
      </w:pPr>
      <w:r>
        <w:rPr>
          <w:lang w:val="en-GB"/>
        </w:rPr>
        <w:t xml:space="preserve">The measurement uncertainty for </w:t>
      </w:r>
      <w:r w:rsidR="00216A5A">
        <w:rPr>
          <w:lang w:val="en-GB"/>
        </w:rPr>
        <w:t xml:space="preserve">maximum UE output power EIRP/TRP test </w:t>
      </w:r>
      <w:r w:rsidR="00822AFF">
        <w:rPr>
          <w:lang w:val="en-GB"/>
        </w:rPr>
        <w:t>cases</w:t>
      </w:r>
      <w:r w:rsidR="00216A5A">
        <w:rPr>
          <w:lang w:val="en-GB"/>
        </w:rPr>
        <w:t xml:space="preserve"> using </w:t>
      </w:r>
      <w:r>
        <w:rPr>
          <w:lang w:val="en-GB"/>
        </w:rPr>
        <w:t xml:space="preserve">the black-box approach for a UE with </w:t>
      </w:r>
      <w:r w:rsidRPr="00EB1C2F">
        <w:rPr>
          <w:i/>
          <w:lang w:val="en-GB"/>
        </w:rPr>
        <w:t>D</w:t>
      </w:r>
      <w:r>
        <w:rPr>
          <w:lang w:val="en-GB"/>
        </w:rPr>
        <w:t xml:space="preserve">=15cm is in excess of 10dB. </w:t>
      </w:r>
    </w:p>
    <w:p w14:paraId="66A5F9F3" w14:textId="6D86E23F" w:rsidR="00EB1C2F" w:rsidRDefault="00EB1C2F" w:rsidP="00EB1C2F">
      <w:pPr>
        <w:rPr>
          <w:lang w:val="en-GB"/>
        </w:rPr>
      </w:pPr>
      <w:r>
        <w:rPr>
          <w:lang w:val="en-GB"/>
        </w:rPr>
        <w:t xml:space="preserve">It was shown that </w:t>
      </w:r>
      <w:r w:rsidR="00216A5A">
        <w:rPr>
          <w:lang w:val="en-GB"/>
        </w:rPr>
        <w:t xml:space="preserve">for </w:t>
      </w:r>
      <w:r w:rsidR="00885A94">
        <w:rPr>
          <w:lang w:val="en-GB"/>
        </w:rPr>
        <w:t xml:space="preserve">the UE maximum output power test cases with a single antenna and maximum aperture size of </w:t>
      </w:r>
      <w:r w:rsidR="00885A94" w:rsidRPr="00885A94">
        <w:rPr>
          <w:i/>
          <w:lang w:val="en-GB"/>
        </w:rPr>
        <w:t>D</w:t>
      </w:r>
      <w:r w:rsidR="00885A94">
        <w:rPr>
          <w:lang w:val="en-GB"/>
        </w:rPr>
        <w:t xml:space="preserve">=5cm, the minimum measurement distance of the baseline system is 73cm with a preliminary measurement uncertainty of approximately 6-7dB for EIRP/TRP metrics. </w:t>
      </w:r>
    </w:p>
    <w:p w14:paraId="17C4283D" w14:textId="1221D558" w:rsidR="00F666EC" w:rsidRPr="008D5AA0" w:rsidRDefault="008D5AA0" w:rsidP="008D5AA0">
      <w:pPr>
        <w:rPr>
          <w:lang w:val="en-GB"/>
        </w:rPr>
      </w:pPr>
      <w:r>
        <w:rPr>
          <w:lang w:val="en-GB"/>
        </w:rPr>
        <w:t xml:space="preserve">In order to enable UE RF, demod, and RRM testing in the far field using practical baseline systems and </w:t>
      </w:r>
      <w:r w:rsidR="00822AFF">
        <w:rPr>
          <w:lang w:val="en-GB"/>
        </w:rPr>
        <w:t xml:space="preserve">reasonable </w:t>
      </w:r>
      <w:r>
        <w:rPr>
          <w:lang w:val="en-GB"/>
        </w:rPr>
        <w:t>measurement uncertainties, it i</w:t>
      </w:r>
      <w:r w:rsidR="00F666EC">
        <w:rPr>
          <w:lang w:val="en-GB"/>
        </w:rPr>
        <w:t xml:space="preserve">s suggested to </w:t>
      </w:r>
      <w:r w:rsidR="00ED78C0">
        <w:rPr>
          <w:lang w:val="en-GB"/>
        </w:rPr>
        <w:t>require</w:t>
      </w:r>
      <w:r>
        <w:rPr>
          <w:lang w:val="en-GB"/>
        </w:rPr>
        <w:t xml:space="preserve"> an antenna declaration </w:t>
      </w:r>
      <w:r w:rsidR="00ED78C0">
        <w:rPr>
          <w:lang w:val="en-GB"/>
        </w:rPr>
        <w:t xml:space="preserve">(“gray box approach”) </w:t>
      </w:r>
      <w:r>
        <w:rPr>
          <w:lang w:val="en-GB"/>
        </w:rPr>
        <w:t xml:space="preserve">of </w:t>
      </w:r>
      <w:r w:rsidRPr="008D5AA0">
        <w:rPr>
          <w:lang w:val="en-GB"/>
        </w:rPr>
        <w:t xml:space="preserve">the maximum radiating aperture size of the </w:t>
      </w:r>
      <w:r>
        <w:rPr>
          <w:lang w:val="en-GB"/>
        </w:rPr>
        <w:t>antennas as well as the maximum separation of concurrently radiating antenna elements</w:t>
      </w:r>
      <w:r w:rsidR="00216A5A">
        <w:rPr>
          <w:lang w:val="en-GB"/>
        </w:rPr>
        <w:t xml:space="preserve"> for conformance testing</w:t>
      </w:r>
      <w:r w:rsidR="00ED78C0">
        <w:rPr>
          <w:lang w:val="en-GB"/>
        </w:rPr>
        <w:t xml:space="preserve">, similar to MIMO OTA </w:t>
      </w:r>
      <w:r w:rsidR="00ED78C0">
        <w:rPr>
          <w:lang w:val="en-GB"/>
        </w:rPr>
        <w:fldChar w:fldCharType="begin"/>
      </w:r>
      <w:r w:rsidR="00ED78C0">
        <w:rPr>
          <w:lang w:val="en-GB"/>
        </w:rPr>
        <w:instrText xml:space="preserve"> REF _Ref503322905 \r \h </w:instrText>
      </w:r>
      <w:r w:rsidR="00ED78C0">
        <w:rPr>
          <w:lang w:val="en-GB"/>
        </w:rPr>
      </w:r>
      <w:r w:rsidR="00ED78C0">
        <w:rPr>
          <w:lang w:val="en-GB"/>
        </w:rPr>
        <w:fldChar w:fldCharType="separate"/>
      </w:r>
      <w:r w:rsidR="00ED78C0">
        <w:rPr>
          <w:lang w:val="en-GB"/>
        </w:rPr>
        <w:t>[4]</w:t>
      </w:r>
      <w:r w:rsidR="00ED78C0">
        <w:rPr>
          <w:lang w:val="en-GB"/>
        </w:rPr>
        <w:fldChar w:fldCharType="end"/>
      </w:r>
      <w:r>
        <w:rPr>
          <w:lang w:val="en-GB"/>
        </w:rPr>
        <w:t xml:space="preserve">. </w:t>
      </w:r>
    </w:p>
    <w:bookmarkEnd w:id="1"/>
    <w:bookmarkEnd w:id="2"/>
    <w:p w14:paraId="6A30F3C3" w14:textId="5AC4A016" w:rsidR="00EE0AC3" w:rsidRPr="00DE4417" w:rsidRDefault="00F71811" w:rsidP="00EE0AC3">
      <w:pPr>
        <w:pStyle w:val="Heading1"/>
        <w:rPr>
          <w:rFonts w:cs="Arial"/>
        </w:rPr>
      </w:pPr>
      <w:r w:rsidRPr="00DE4417">
        <w:rPr>
          <w:rFonts w:cs="Arial"/>
        </w:rPr>
        <w:t>Proposals</w:t>
      </w:r>
    </w:p>
    <w:p w14:paraId="65C25269" w14:textId="67EBF705" w:rsidR="00DE1186" w:rsidRPr="00ED78C0" w:rsidRDefault="00ED78C0" w:rsidP="00ED78C0">
      <w:pPr>
        <w:rPr>
          <w:b/>
        </w:rPr>
      </w:pPr>
      <w:bookmarkStart w:id="3" w:name="_Ref473660868"/>
      <w:bookmarkStart w:id="4" w:name="_Ref473660708"/>
      <w:bookmarkStart w:id="5" w:name="OLE_LINK6"/>
      <w:bookmarkStart w:id="6" w:name="OLE_LINK7"/>
      <w:r w:rsidRPr="00ED78C0">
        <w:rPr>
          <w:b/>
        </w:rPr>
        <w:t xml:space="preserve">Proposal: </w:t>
      </w:r>
      <w:r w:rsidR="00216A5A">
        <w:rPr>
          <w:b/>
        </w:rPr>
        <w:t xml:space="preserve">For conformance testing, </w:t>
      </w:r>
      <w:r w:rsidRPr="00ED78C0">
        <w:rPr>
          <w:b/>
        </w:rPr>
        <w:t xml:space="preserve">require </w:t>
      </w:r>
      <w:r w:rsidRPr="00ED78C0">
        <w:rPr>
          <w:b/>
          <w:lang w:val="en-GB"/>
        </w:rPr>
        <w:t>an antenna declaration of the maximum radiating aperture size of the antennas as well as the maximum separation of concurrently radiating antenna elements</w:t>
      </w:r>
      <w:r w:rsidRPr="00ED78C0">
        <w:rPr>
          <w:b/>
        </w:rPr>
        <w:t xml:space="preserve"> to enable </w:t>
      </w:r>
      <w:r w:rsidRPr="00ED78C0">
        <w:rPr>
          <w:b/>
          <w:lang w:val="en-GB"/>
        </w:rPr>
        <w:t xml:space="preserve">UE RF, demod, and RRM testing in the far field using practical baseline systems and </w:t>
      </w:r>
      <w:r w:rsidR="00822AFF">
        <w:rPr>
          <w:b/>
          <w:lang w:val="en-GB"/>
        </w:rPr>
        <w:t xml:space="preserve">reasonable </w:t>
      </w:r>
      <w:r w:rsidRPr="00ED78C0">
        <w:rPr>
          <w:b/>
          <w:lang w:val="en-GB"/>
        </w:rPr>
        <w:t>measurement uncertainties</w:t>
      </w:r>
      <w:r w:rsidR="00822AFF">
        <w:rPr>
          <w:b/>
          <w:lang w:val="en-GB"/>
        </w:rPr>
        <w:t>.</w:t>
      </w:r>
    </w:p>
    <w:p w14:paraId="1559997D" w14:textId="4AF64BAF" w:rsidR="00030A7F" w:rsidRPr="00DE4417" w:rsidRDefault="00030A7F" w:rsidP="00030A7F">
      <w:pPr>
        <w:pStyle w:val="Heading1"/>
        <w:numPr>
          <w:ilvl w:val="0"/>
          <w:numId w:val="0"/>
        </w:numPr>
        <w:ind w:left="432" w:hanging="432"/>
        <w:rPr>
          <w:rFonts w:cs="Arial"/>
        </w:rPr>
      </w:pPr>
      <w:r w:rsidRPr="00DE4417">
        <w:rPr>
          <w:rFonts w:cs="Arial"/>
        </w:rPr>
        <w:lastRenderedPageBreak/>
        <w:t>References</w:t>
      </w:r>
    </w:p>
    <w:p w14:paraId="0C2A9D93" w14:textId="4D8A5C36" w:rsidR="006A6F9A" w:rsidRDefault="006A6F9A" w:rsidP="006A6F9A">
      <w:pPr>
        <w:pStyle w:val="ListParagraph"/>
        <w:numPr>
          <w:ilvl w:val="0"/>
          <w:numId w:val="46"/>
        </w:numPr>
        <w:spacing w:after="0" w:line="240" w:lineRule="auto"/>
        <w:rPr>
          <w:lang w:val="en-GB"/>
        </w:rPr>
      </w:pPr>
      <w:bookmarkStart w:id="7" w:name="_Ref503728622"/>
      <w:r w:rsidRPr="006A6F9A">
        <w:rPr>
          <w:lang w:val="en-GB"/>
        </w:rPr>
        <w:t>R4-1708200</w:t>
      </w:r>
      <w:r>
        <w:rPr>
          <w:lang w:val="en-GB"/>
        </w:rPr>
        <w:t xml:space="preserve">, </w:t>
      </w:r>
      <w:r w:rsidRPr="006A6F9A">
        <w:rPr>
          <w:lang w:val="en-GB"/>
        </w:rPr>
        <w:t>Black Box vs White Box Testing for NR</w:t>
      </w:r>
      <w:r w:rsidR="008D3677">
        <w:rPr>
          <w:lang w:val="en-GB"/>
        </w:rPr>
        <w:t xml:space="preserve">, Rohde&amp;Schwarz, </w:t>
      </w:r>
      <w:r w:rsidRPr="006A6F9A">
        <w:rPr>
          <w:lang w:val="en-GB"/>
        </w:rPr>
        <w:t>3GPP TSG-RAN4 Meeting #84</w:t>
      </w:r>
      <w:r>
        <w:rPr>
          <w:lang w:val="en-GB"/>
        </w:rPr>
        <w:t>, August 2017</w:t>
      </w:r>
      <w:bookmarkEnd w:id="7"/>
    </w:p>
    <w:p w14:paraId="23D65320" w14:textId="2A125DE3" w:rsidR="008D3677" w:rsidRDefault="008D3677" w:rsidP="008D3677">
      <w:pPr>
        <w:pStyle w:val="ListParagraph"/>
        <w:numPr>
          <w:ilvl w:val="0"/>
          <w:numId w:val="46"/>
        </w:numPr>
        <w:spacing w:after="0" w:line="240" w:lineRule="auto"/>
        <w:rPr>
          <w:lang w:val="en-GB"/>
        </w:rPr>
      </w:pPr>
      <w:bookmarkStart w:id="8" w:name="_Ref503731561"/>
      <w:r>
        <w:rPr>
          <w:lang w:val="en-GB"/>
        </w:rPr>
        <w:t xml:space="preserve">R4-1713008, </w:t>
      </w:r>
      <w:r w:rsidRPr="008D3677">
        <w:rPr>
          <w:lang w:val="en-GB"/>
        </w:rPr>
        <w:t>NR MU</w:t>
      </w:r>
      <w:r>
        <w:rPr>
          <w:lang w:val="en-GB"/>
        </w:rPr>
        <w:t xml:space="preserve"> offline call#2 meeting minutes, </w:t>
      </w:r>
      <w:r w:rsidRPr="008D3677">
        <w:rPr>
          <w:lang w:val="en-GB"/>
        </w:rPr>
        <w:t>CATR</w:t>
      </w:r>
      <w:r>
        <w:rPr>
          <w:lang w:val="en-GB"/>
        </w:rPr>
        <w:t xml:space="preserve">, </w:t>
      </w:r>
      <w:r w:rsidRPr="006A6F9A">
        <w:rPr>
          <w:lang w:val="en-GB"/>
        </w:rPr>
        <w:t>3GPP TSG-RAN4 Meeting #84</w:t>
      </w:r>
      <w:r>
        <w:rPr>
          <w:lang w:val="en-GB"/>
        </w:rPr>
        <w:t>, August 2017</w:t>
      </w:r>
      <w:bookmarkEnd w:id="8"/>
    </w:p>
    <w:p w14:paraId="1DA8A9DB" w14:textId="7C4C20A8" w:rsidR="008D3677" w:rsidRDefault="008D3677" w:rsidP="008D3677">
      <w:pPr>
        <w:pStyle w:val="ListParagraph"/>
        <w:numPr>
          <w:ilvl w:val="0"/>
          <w:numId w:val="46"/>
        </w:numPr>
        <w:spacing w:after="0" w:line="240" w:lineRule="auto"/>
        <w:rPr>
          <w:lang w:val="en-GB"/>
        </w:rPr>
      </w:pPr>
      <w:bookmarkStart w:id="9" w:name="_Ref503731566"/>
      <w:r>
        <w:rPr>
          <w:lang w:val="en-GB"/>
        </w:rPr>
        <w:t xml:space="preserve">R4-1713215, </w:t>
      </w:r>
      <w:r w:rsidRPr="008D3677">
        <w:rPr>
          <w:lang w:val="en-GB"/>
        </w:rPr>
        <w:t>TP on Mea</w:t>
      </w:r>
      <w:r>
        <w:rPr>
          <w:lang w:val="en-GB"/>
        </w:rPr>
        <w:t xml:space="preserve">surement Uncertainty assessment, </w:t>
      </w:r>
      <w:r w:rsidRPr="008D3677">
        <w:rPr>
          <w:lang w:val="en-GB"/>
        </w:rPr>
        <w:t>CATR</w:t>
      </w:r>
      <w:r>
        <w:rPr>
          <w:lang w:val="en-GB"/>
        </w:rPr>
        <w:t xml:space="preserve">, </w:t>
      </w:r>
      <w:r w:rsidRPr="006A6F9A">
        <w:rPr>
          <w:lang w:val="en-GB"/>
        </w:rPr>
        <w:t>3GPP TSG-RAN4 Meeting #84</w:t>
      </w:r>
      <w:r>
        <w:rPr>
          <w:lang w:val="en-GB"/>
        </w:rPr>
        <w:t>, August 2017</w:t>
      </w:r>
      <w:bookmarkEnd w:id="9"/>
    </w:p>
    <w:p w14:paraId="2F126203" w14:textId="66C28C46" w:rsidR="00ED78C0" w:rsidRPr="00ED78C0" w:rsidRDefault="00ED78C0" w:rsidP="00ED78C0">
      <w:pPr>
        <w:pStyle w:val="ListParagraph"/>
        <w:numPr>
          <w:ilvl w:val="0"/>
          <w:numId w:val="46"/>
        </w:numPr>
        <w:spacing w:after="0" w:line="240" w:lineRule="auto"/>
        <w:rPr>
          <w:lang w:val="en-GB"/>
        </w:rPr>
      </w:pPr>
      <w:bookmarkStart w:id="10" w:name="_Ref503322905"/>
      <w:r w:rsidRPr="00DB3C87">
        <w:rPr>
          <w:lang w:val="en-GB"/>
        </w:rPr>
        <w:t>TR 37.977</w:t>
      </w:r>
      <w:r>
        <w:rPr>
          <w:lang w:val="en-GB"/>
        </w:rPr>
        <w:t xml:space="preserve">, </w:t>
      </w:r>
      <w:r w:rsidRPr="00DB3C87">
        <w:rPr>
          <w:lang w:val="en-GB"/>
        </w:rPr>
        <w:t>Verification of radiated multi-antenna reception performance of User Equipment (UE)</w:t>
      </w:r>
      <w:r>
        <w:rPr>
          <w:lang w:val="en-GB"/>
        </w:rPr>
        <w:t xml:space="preserve">, V14.5.0, September </w:t>
      </w:r>
      <w:r w:rsidRPr="00DB3C87">
        <w:rPr>
          <w:lang w:val="en-GB"/>
        </w:rPr>
        <w:t>2017</w:t>
      </w:r>
      <w:bookmarkEnd w:id="10"/>
    </w:p>
    <w:bookmarkEnd w:id="3"/>
    <w:bookmarkEnd w:id="4"/>
    <w:bookmarkEnd w:id="5"/>
    <w:bookmarkEnd w:id="6"/>
    <w:p w14:paraId="3F053A66" w14:textId="0C3F7631" w:rsidR="001B137F" w:rsidRPr="00DE4417" w:rsidRDefault="001B137F" w:rsidP="001747B0">
      <w:pPr>
        <w:spacing w:after="0" w:line="240" w:lineRule="auto"/>
        <w:ind w:left="720" w:hanging="720"/>
        <w:rPr>
          <w:lang w:val="en-GB"/>
        </w:rPr>
      </w:pPr>
    </w:p>
    <w:sectPr w:rsidR="001B137F" w:rsidRPr="00DE441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9AB26" w14:textId="77777777" w:rsidR="009924B2" w:rsidRDefault="009924B2" w:rsidP="00371D7D">
      <w:r>
        <w:separator/>
      </w:r>
    </w:p>
  </w:endnote>
  <w:endnote w:type="continuationSeparator" w:id="0">
    <w:p w14:paraId="5591D542" w14:textId="77777777" w:rsidR="009924B2" w:rsidRDefault="009924B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A47F5CD"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7D5FEB">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1A38A" w14:textId="77777777" w:rsidR="009924B2" w:rsidRDefault="009924B2" w:rsidP="00371D7D">
      <w:r>
        <w:separator/>
      </w:r>
    </w:p>
  </w:footnote>
  <w:footnote w:type="continuationSeparator" w:id="0">
    <w:p w14:paraId="34665BCE" w14:textId="77777777" w:rsidR="009924B2" w:rsidRDefault="009924B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F122A"/>
    <w:multiLevelType w:val="hybridMultilevel"/>
    <w:tmpl w:val="F32EF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B669D"/>
    <w:multiLevelType w:val="hybridMultilevel"/>
    <w:tmpl w:val="BD9EC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2"/>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5"/>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3"/>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1"/>
  </w:num>
  <w:num w:numId="31">
    <w:abstractNumId w:val="30"/>
  </w:num>
  <w:num w:numId="32">
    <w:abstractNumId w:val="8"/>
  </w:num>
  <w:num w:numId="33">
    <w:abstractNumId w:val="37"/>
  </w:num>
  <w:num w:numId="34">
    <w:abstractNumId w:val="3"/>
  </w:num>
  <w:num w:numId="35">
    <w:abstractNumId w:val="15"/>
  </w:num>
  <w:num w:numId="36">
    <w:abstractNumId w:val="29"/>
  </w:num>
  <w:num w:numId="37">
    <w:abstractNumId w:val="23"/>
  </w:num>
  <w:num w:numId="38">
    <w:abstractNumId w:val="36"/>
  </w:num>
  <w:num w:numId="39">
    <w:abstractNumId w:val="26"/>
  </w:num>
  <w:num w:numId="40">
    <w:abstractNumId w:val="34"/>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28"/>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5A"/>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A7AAA"/>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4DFC"/>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08C"/>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266"/>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25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6F9A"/>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5FEB"/>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2AF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5A94"/>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3677"/>
    <w:rsid w:val="008D552A"/>
    <w:rsid w:val="008D5AA0"/>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67246"/>
    <w:rsid w:val="00967DA7"/>
    <w:rsid w:val="009750F0"/>
    <w:rsid w:val="0097543A"/>
    <w:rsid w:val="00975F20"/>
    <w:rsid w:val="00976B03"/>
    <w:rsid w:val="00984C8B"/>
    <w:rsid w:val="009863CE"/>
    <w:rsid w:val="00987740"/>
    <w:rsid w:val="00987C1F"/>
    <w:rsid w:val="009924B2"/>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6C82"/>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6443"/>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15"/>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7A"/>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1C2F"/>
    <w:rsid w:val="00EB21DE"/>
    <w:rsid w:val="00EB4866"/>
    <w:rsid w:val="00EB7838"/>
    <w:rsid w:val="00EB7CDF"/>
    <w:rsid w:val="00EC04F5"/>
    <w:rsid w:val="00EC0C9D"/>
    <w:rsid w:val="00EC1757"/>
    <w:rsid w:val="00EC5F39"/>
    <w:rsid w:val="00ED533B"/>
    <w:rsid w:val="00ED5892"/>
    <w:rsid w:val="00ED78C0"/>
    <w:rsid w:val="00EE0766"/>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6EC"/>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841F8-540F-4071-9203-6D008E232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2310</Characters>
  <Application>Microsoft Office Word</Application>
  <DocSecurity>0</DocSecurity>
  <Lines>19</Lines>
  <Paragraphs>5</Paragraphs>
  <ScaleCrop>false</ScaleCrop>
  <Manager/>
  <Company/>
  <LinksUpToDate>false</LinksUpToDate>
  <CharactersWithSpaces>2710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2018-01-15T21:20:00Z</dcterms:created>
  <dcterms:modified xsi:type="dcterms:W3CDTF">2018-01-15T21:21:00Z</dcterms:modified>
  <cp:category/>
</cp:coreProperties>
</file>